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«Государственное регулирование экономики»,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Государственно-частное партнерство в различных отраслях экономики</w:t>
            </w:r>
          </w:p>
          <w:p>
            <w:pPr>
              <w:jc w:val="center"/>
              <w:spacing w:after="0" w:line="240" w:lineRule="auto"/>
              <w:rPr>
                <w:sz w:val="32"/>
                <w:szCs w:val="32"/>
              </w:rPr>
            </w:pPr>
            <w:r>
              <w:rPr>
                <w:rFonts w:ascii="Times New Roman" w:hAnsi="Times New Roman" w:cs="Times New Roman"/>
                <w:color w:val="#000000"/>
                <w:sz w:val="32"/>
                <w:szCs w:val="32"/>
              </w:rPr>
              <w:t> К.М.01.01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регулирование экономики»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08.041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УПРАВЛЕНИЯ ПРОЕКТАМИ ГОСУДАРСТВЕННО- ЧАСТНОГО ПАРТНЕРСТВА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283.3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/Демьянов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«Государственное регулирование экономики»;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«Государственно- частное партнерство в различных отраслях экономики»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К.М.01.01 «Государственно-частное партнерство в различных отраслях экономики».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«Государственно-частное партнерство в различных отраслях экономики»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Способностью к регулированию в сфере государственных инвестиций и инвестиционной деятельности, института государственно-частного партнерства</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методы реализации проектов государственно-частного партнёрства (муниципально-частного партнёрства)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знать  понятие рынка капитала и его инструментарий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знать особенности применения механизмов государственно-частного партнерства в различных отраслях экономики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уметь применять знания практики реализации проектов государственно-частного партнёрства (муниципально-частного партнерства)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ПК-1.20 уметь анализировать инвестици-онные проекты и координировать сопровождение инвестиционной деятельности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ПК-1.26 уметь  проводить мониторинг реализации концессионных соглашений, соглашений о государственно-частном партнёрстве, муниципально-частном партнёрстве в Российской Федерации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ПК-1.27 уметь подготавливать информацию для ежегодного доклада о состоянии сферы государственно-частного партнёрства в Российской Федерации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ПК-1.28 уметь  составлять  прогнозные формы финансовой отчётности инвестиционных проектов (денежные потоки проекта, налоговые и иные обязательные платежи применительно к выбранной юридической схеме проекта)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ПК-1.29 уметь  разрабатывать матрицы рисков проекта государственно-частного партнерства, алгоритмы, модели, схемы по проекту государственно-частного партнерства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ПК-1.33 владеть навыками применения  методов реализации проектов государственно- частного партнёрства (муниципально-частного партнёрства)</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управлять проектом на всех этапах его жизненного цикла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этапы жизненного цикла проекта</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методы управления и оценки эффективности проекта</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формулировать на основе поставленной проблемы проектную задачу  и способ ее решения через реализацию проектного управления</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разрабатывать концепцию проекта в рамках обозначенной проблемы: формулировать цель, задачи, обосновывать актуальность, значимость, ожидаемые результаты и возможные сферы их применения</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навыками определения целевых показателей и направлений работ на всех этапах жизненного цикла проекта, планировать необходимые ресурсы, в том числе с учетом их заменимости</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методами осуществления мониторинга хода реализации проекта, корректировки отклонения, внесения дополнительных изменений в план реализации проекта, уточнения зоны ответственности участников проекта</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2178.39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К.М.01.01 «Государственно-частное партнерство в различных отраслях экономики» относится к обязательной части, является дисциплиной Блока Б1. «Дисциплины (модули)». Модуль "Институт государственно-частного партнерства, регулирование в сфере государственных инвестиций и инвестиционной деятельности"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Правовое обеспечение профессиональной деятельности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Нормативно-правовая база сферы государственно-частного партнерства</w:t>
            </w:r>
          </w:p>
          <w:p>
            <w:pPr>
              <w:jc w:val="center"/>
              <w:spacing w:after="0" w:line="240" w:lineRule="auto"/>
              <w:rPr>
                <w:sz w:val="22"/>
                <w:szCs w:val="22"/>
              </w:rPr>
            </w:pPr>
            <w:r>
              <w:rPr>
                <w:rFonts w:ascii="Times New Roman" w:hAnsi="Times New Roman" w:cs="Times New Roman"/>
                <w:color w:val="#000000"/>
                <w:sz w:val="22"/>
                <w:szCs w:val="22"/>
              </w:rPr>
              <w:t> Нормативно-правовые основы регулирования деятельности в сфере закупок</w:t>
            </w:r>
          </w:p>
          <w:p>
            <w:pPr>
              <w:jc w:val="center"/>
              <w:spacing w:after="0" w:line="240" w:lineRule="auto"/>
              <w:rPr>
                <w:sz w:val="22"/>
                <w:szCs w:val="22"/>
              </w:rPr>
            </w:pPr>
            <w:r>
              <w:rPr>
                <w:rFonts w:ascii="Times New Roman" w:hAnsi="Times New Roman" w:cs="Times New Roman"/>
                <w:color w:val="#000000"/>
                <w:sz w:val="22"/>
                <w:szCs w:val="22"/>
              </w:rPr>
              <w:t> Планирование и организация проекта государственно-частного партнерства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552.172"/>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14.5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Использование механизмов государственно- частного партнерства в области транспорта (строительство дорог и дорожной инфраструктуры, общественный транспорт, железнодорожный транспорт, порты, аэропорты), «идеальная модель» проектов государственно-частного партнерства в области транспорта и практика их реализации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Использование механизмов государственно- частного партнерства в социальной сфере (культура, здравоохранение, образование, спорт, туризм), «идеальная модель» проектов государственно- частного партнерства в социальной сфере и практика их реализации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Использование механизмов государственно- частного партнерства в области жилищно- коммунального хозяйства (водоснабжение и канализация, мусороудаление, электричество, телекоммуникации), «идеальная модель» проектов государственно-частного партнерства в области жилищно-коммунального хозяйства и практика их реализации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Использование механизмов государственно- частного партнерства в специфичных областях экономики (добыча природных ресурсов, наука и инновации, территориальное развитие и т.п.)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207.7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Использование механизмов государственно- частного партнерства в области транспорта (строительство дорог и дорожной инфраструктуры, общественный транспорт, железнодорожный транспорт, порты, аэропорты), «идеальная модель» проектов государственно-частного партнерства в области транспорта и практика их реализации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Использование механизмов государственно- частного партнерства в социальной сфере (культура, здравоохранение, образование, спорт, туризм), «идеальная модель» проектов государственно- частного партнерства в социальной сфере и практика их реализации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Использование механизмов государственно- частного партнерства в области жилищно- коммунального хозяйства (водоснабжение и канализация, мусороудаление, электричество, телекоммуникации), «идеальная модель» проектов государственно-частного партнерства в области жилищно-коммунального хозяйства и практика их реализации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Использование механизмов государственно- частного партнерства в специфичных областях экономики (добыча природных ресурсов, наука и инновации, территориальное развитие и т.п.).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378.9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0.7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Использование механизмов государственно-частного партнерства в области транспорта (строительство дорог и дорожной инфраструктуры, общественный транспорт, железнодорожный транспорт, порты, аэропорты), «идеальная модель» проектов государственно-частного партнерства в области транспорта и практика их реализации в России.</w:t>
            </w:r>
          </w:p>
        </w:tc>
      </w:tr>
      <w:tr>
        <w:trPr>
          <w:trHeight w:hRule="exact" w:val="1369.599"/>
        </w:trPr>
        <w:tc>
          <w:tcPr>
            <w:tcW w:w="9654" w:type="dxa"/>
            <w:tcBorders>
</w:tcBorders>
            <w:vMerge/>
            <w:shd w:val="clear" w:color="#000000" w:fill="#FFFFFF"/>
            <w:vAlign w:val="top"/>
            <w:tcMar>
              <w:left w:w="34" w:type="dxa"/>
              <w:right w:w="34" w:type="dxa"/>
            </w:tcMar>
          </w:tcP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 государственно-частного партнерства при реализации проектов транспортной инфраструктуры. Теоретические основы партнерства государства и бизнеса как инструмента развития транспортной инфраструктуры. Особенности государственно- частного партнерства в современных условиях. Модели государственно-частного партнерства. Методика реализации проектов государственно-частного партнерства в транспортной инфраструктуре России. Институциональные условия регулирования концессионных соглашений. Анализ современных способов оценки конкурсных предложений. Направления по совершенствованию механизма государственно-частного партнерства в транспортных отраслях. Совершенствование методики организации и проведения концессионных конкурсов. Оценка эффективности государственных инвестиций при реализации инвестиционных проектов с применением механизма государственно-частного партнерства.</w:t>
            </w:r>
          </w:p>
        </w:tc>
      </w:tr>
      <w:tr>
        <w:trPr>
          <w:trHeight w:hRule="exact" w:val="1125.8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Использование механизмов государственно-частного партнерства в социальной сфере (культура, здравоохранение, образование, спорт, туризм), «идеальная модель» проектов государственно-частного партнерства в социальной сфере и практика их реализации в России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инфраструктуры в отраслях социальной сферы, как совокупность инфраструктурных объектов, относящихся к отраслям здравоохранения, образования, социальной защиты населения, культуры, туризма, физической культуры и спорта, а под «социальной сферой» — совокупность следующих отраслей: здравоохранения, образования, социальной защиты населения, культуры, туризма, физической культуры и спорта.. Анализ динамики бюджетных расходов в отраслях социальной сферы. Замещение дефицита бюджетных средств за счет альтернативных источников - использование механизмов государственно-частного партнерства (ГЧП) для создания и развития объектов социальной инфраструктуры.</w:t>
            </w:r>
          </w:p>
        </w:tc>
      </w:tr>
      <w:tr>
        <w:trPr>
          <w:trHeight w:hRule="exact" w:val="1396.3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Использование механизмов государственно-частного партнерства в области жилищно-коммунального хозяйства (водоснабжение и канализация, мусороудаление, электричество, телекоммуникации), «идеальная модель» проектов государственно-частного партнерства в области жилищно-коммунального хозяйства и практика их реализации в России.</w:t>
            </w:r>
          </w:p>
        </w:tc>
      </w:tr>
      <w:tr>
        <w:trPr>
          <w:trHeight w:hRule="exact" w:val="1280.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организации ГЧП в сфере жилищно-коммунального хозяйства. Условия государственно-частного партнерства. Инструменты, которые использует государственно- частное партнерство в ЖКХ. Государственно-частное партнерство в сфере ЖКХ: 3 основные модели. Особенности применения концессии в государственно-частном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партнерстве. Применение механизма государственно-частного партнерства. Характер взаимодействия бизнес-организаций и органов власти в РФ. Распределение рисков при реализации механизмов государственно-частного партнерства</w:t>
            </w:r>
          </w:p>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Использование механизмов государственно-частного партнерства в специфичных областях экономики (добыча природных ресурсов, наука и инновации, территориальное развитие и т.п.)</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Необходимость формирования и развития государственно-частного партнерства в условиях становления инновационной экономики в России в специфичных областях экономики. Особенности форм российского государственно-частного партнерства, факторы, сдерживающие его развитие, проблемы и противоречия в специфичных областях экономики. Основные направления повышения эффективности партнерских отношений в России в области природных ресурсов, наука и инновации, территориальное развитие.</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Использование механизмов государственно-частного партнерства в области транспорта (строительство дорог и дорожной инфраструктуры, общественный транспорт, железнодорожный транспорт, порты, аэропорты), «идеальная модель» проектов государственно-частного партнерства в области транспорта и практика их реализации в России.</w:t>
            </w:r>
          </w:p>
        </w:tc>
      </w:tr>
      <w:tr>
        <w:trPr>
          <w:trHeight w:hRule="exact" w:val="21.31518"/>
        </w:trPr>
        <w:tc>
          <w:tcPr>
            <w:tcW w:w="9640" w:type="dxa"/>
          </w:tcPr>
          <w:p/>
        </w:tc>
      </w:tr>
      <w:tr>
        <w:trPr>
          <w:trHeight w:hRule="exact" w:val="3289.5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Механизм государственно-частного партнерства при реализации проектов транспортной инфраструктуры. Теоретические основы партнерства государства и бизнеса как инструмента развития транспортной инфраструктуры. Особенности государственно- частного партнерства в современных условиях. Модели государственно-частного партнерства. Методика реализации проектов государственно-частного партнерства в транспортной инфраструктуре России. Институциональные условия регулирования концессионных соглашений. Анализ современных способов оценки конкурсных предложений. Направления по совершенствованию механизма государственно-частного партнерства в транспортных отраслях. Совершенствование методики организации и проведения концессионных конкурсов. Оценка эффективности государственных инвестиций при реализации инвестиционных проектов с применением механизма государственно-частного партнерства.</w:t>
            </w:r>
          </w:p>
        </w:tc>
      </w:tr>
      <w:tr>
        <w:trPr>
          <w:trHeight w:hRule="exact" w:val="8.085717"/>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Использование механизмов государственно-частного партнерства в социальной сфере (культура, здравоохранение, образование, спорт, туризм), «идеальная модель» проектов государственно-частного партнерства в социальной сфере и практика их реализации в России</w:t>
            </w:r>
          </w:p>
        </w:tc>
      </w:tr>
      <w:tr>
        <w:trPr>
          <w:trHeight w:hRule="exact" w:val="21.3160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инфраструктуры в отраслях социальной сферы, как совокупность инфраструктурных объектов, относящихся к отраслям здравоохранения, образования, социальной защиты населения, культуры, туризма, физической культуры и спорта, а под «социальной сферой» — совокупность следующих отраслей: здравоохранения, образования, социальной защиты населения, культуры, туризма, физической культуры и спорта.. Анализ динамики бюджетных расходов в отраслях социальной сферы. Замещение дефицита бюджетных средств за счет альтернативных источников - использование механизмов государственно-частного партнерства (ГЧП) для создания и развития объектов социальной инфраструктуры.</w:t>
            </w:r>
          </w:p>
        </w:tc>
      </w:tr>
      <w:tr>
        <w:trPr>
          <w:trHeight w:hRule="exact" w:val="8.08482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Использование механизмов государственно-частного партнерства в области жилищно-коммунального хозяйства (водоснабжение и канализация, мусороудаление, электричество, телекоммуникации), «идеальная модель» проектов государственно-частного партнерства в области жилищно-коммунального хозяйства и практика их реализации в России.</w:t>
            </w:r>
          </w:p>
        </w:tc>
      </w:tr>
      <w:tr>
        <w:trPr>
          <w:trHeight w:hRule="exact" w:val="21.31518"/>
        </w:trPr>
        <w:tc>
          <w:tcPr>
            <w:tcW w:w="9640" w:type="dxa"/>
          </w:tcPr>
          <w:p/>
        </w:tc>
      </w:tr>
      <w:tr>
        <w:trPr>
          <w:trHeight w:hRule="exact" w:val="1340.49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организации ГЧП в сфере жилищно-коммунального хозяйства. Условия государственно-частного партнерства. Инструменты, которые использует государственно- частное партнерство в ЖКХ. Государственно-частное партнерство в сфере ЖКХ: 3 основные модели. Особенности применения концессии в государственно-частном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партнерстве. Применение механизма государственно-частного партнерства. Характер взаимодействия бизнес-организаций и органов власти в РФ. Распределение рисков при реализации механизмов государственно-частного партнерства</w:t>
            </w:r>
          </w:p>
        </w:tc>
      </w:tr>
      <w:tr>
        <w:trPr>
          <w:trHeight w:hRule="exact" w:val="8.084989"/>
        </w:trPr>
        <w:tc>
          <w:tcPr>
            <w:tcW w:w="285" w:type="dxa"/>
          </w:tcPr>
          <w:p/>
        </w:tc>
        <w:tc>
          <w:tcPr>
            <w:tcW w:w="9356" w:type="dxa"/>
          </w:tcPr>
          <w:p/>
        </w:tc>
      </w:tr>
      <w:tr>
        <w:trPr>
          <w:trHeight w:hRule="exact" w:val="855.53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Использование механизмов государственно-частного партнерства в специфичных областях экономики (добыча природных ресурсов, наука и инновации, территориальное развитие и т.п.).</w:t>
            </w:r>
          </w:p>
        </w:tc>
      </w:tr>
      <w:tr>
        <w:trPr>
          <w:trHeight w:hRule="exact" w:val="21.31507"/>
        </w:trPr>
        <w:tc>
          <w:tcPr>
            <w:tcW w:w="285" w:type="dxa"/>
          </w:tcPr>
          <w:p/>
        </w:tc>
        <w:tc>
          <w:tcPr>
            <w:tcW w:w="9356" w:type="dxa"/>
          </w:tcPr>
          <w:p/>
        </w:tc>
      </w:tr>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Необходимость формирования и развития государственно-частного партнерства в условиях становления инновационной экономики в России в специфичных областях экономики. Особенности форм российского государственно-частного партнерства, факторы, сдерживающие его развитие, проблемы и противоречия в специфичных областях экономики. Основные направления повышения эффективности партнерских отношений в России в области природных ресурсов, наука и инновации, территориальное развитие.</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«Государственно- частное партнерство в различных отраслях экономики» / Демьянов В.Г.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Государственно-частное</w:t>
            </w:r>
            <w:r>
              <w:rPr/>
              <w:t xml:space="preserve"> </w:t>
            </w:r>
            <w:r>
              <w:rPr>
                <w:rFonts w:ascii="Times New Roman" w:hAnsi="Times New Roman" w:cs="Times New Roman"/>
                <w:color w:val="#000000"/>
                <w:sz w:val="24"/>
                <w:szCs w:val="24"/>
              </w:rPr>
              <w:t>партнерство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Борщевский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978-5-534-06541-1.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https://urait.ru/bcode/450650</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978-5-534-12770-6.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https://urait.ru/bcode/471161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Государственно-частное</w:t>
            </w:r>
            <w:r>
              <w:rPr/>
              <w:t xml:space="preserve"> </w:t>
            </w:r>
            <w:r>
              <w:rPr>
                <w:rFonts w:ascii="Times New Roman" w:hAnsi="Times New Roman" w:cs="Times New Roman"/>
                <w:color w:val="#000000"/>
                <w:sz w:val="24"/>
                <w:szCs w:val="24"/>
              </w:rPr>
              <w:t>партнерство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Борщевский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978-5-534-08174-9.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https://urait.ru/bcode/455251</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Государственно-частное</w:t>
            </w:r>
            <w:r>
              <w:rPr/>
              <w:t xml:space="preserve"> </w:t>
            </w:r>
            <w:r>
              <w:rPr>
                <w:rFonts w:ascii="Times New Roman" w:hAnsi="Times New Roman" w:cs="Times New Roman"/>
                <w:color w:val="#000000"/>
                <w:sz w:val="24"/>
                <w:szCs w:val="24"/>
              </w:rPr>
              <w:t>партнерство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внешнеэкономического</w:t>
            </w:r>
            <w:r>
              <w:rPr/>
              <w:t xml:space="preserve"> </w:t>
            </w:r>
            <w:r>
              <w:rPr>
                <w:rFonts w:ascii="Times New Roman" w:hAnsi="Times New Roman" w:cs="Times New Roman"/>
                <w:color w:val="#000000"/>
                <w:sz w:val="24"/>
                <w:szCs w:val="24"/>
              </w:rPr>
              <w:t>потенциала</w:t>
            </w:r>
            <w:r>
              <w:rPr/>
              <w:t xml:space="preserve"> </w:t>
            </w:r>
            <w:r>
              <w:rPr>
                <w:rFonts w:ascii="Times New Roman" w:hAnsi="Times New Roman" w:cs="Times New Roman"/>
                <w:color w:val="#000000"/>
                <w:sz w:val="24"/>
                <w:szCs w:val="24"/>
              </w:rPr>
              <w:t>региона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Дюжева,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Агазарян,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Государственно-частное</w:t>
            </w:r>
            <w:r>
              <w:rPr/>
              <w:t xml:space="preserve"> </w:t>
            </w:r>
            <w:r>
              <w:rPr>
                <w:rFonts w:ascii="Times New Roman" w:hAnsi="Times New Roman" w:cs="Times New Roman"/>
                <w:color w:val="#000000"/>
                <w:sz w:val="24"/>
                <w:szCs w:val="24"/>
              </w:rPr>
              <w:t>партнерство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внешнеэкономического</w:t>
            </w:r>
            <w:r>
              <w:rPr/>
              <w:t xml:space="preserve"> </w:t>
            </w:r>
            <w:r>
              <w:rPr>
                <w:rFonts w:ascii="Times New Roman" w:hAnsi="Times New Roman" w:cs="Times New Roman"/>
                <w:color w:val="#000000"/>
                <w:sz w:val="24"/>
                <w:szCs w:val="24"/>
              </w:rPr>
              <w:t>потенциала</w:t>
            </w:r>
            <w:r>
              <w:rPr/>
              <w:t xml:space="preserve"> </w:t>
            </w:r>
            <w:r>
              <w:rPr>
                <w:rFonts w:ascii="Times New Roman" w:hAnsi="Times New Roman" w:cs="Times New Roman"/>
                <w:color w:val="#000000"/>
                <w:sz w:val="24"/>
                <w:szCs w:val="24"/>
              </w:rPr>
              <w:t>региона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Российский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дружбы</w:t>
            </w:r>
            <w:r>
              <w:rPr/>
              <w:t xml:space="preserve"> </w:t>
            </w:r>
            <w:r>
              <w:rPr>
                <w:rFonts w:ascii="Times New Roman" w:hAnsi="Times New Roman" w:cs="Times New Roman"/>
                <w:color w:val="#000000"/>
                <w:sz w:val="24"/>
                <w:szCs w:val="24"/>
              </w:rPr>
              <w:t>народов,</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978-5-209-08480-8.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http://www.iprbookshop.ru/104196.html</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784.392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41.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2024-2025_ФГОС3++2024_Маг-ОФО-ГМУ(ГРЭ)(24)_plx_Государственно-частное партнерство в различных отраслях экономики</dc:title>
  <dc:creator>FastReport.NET</dc:creator>
</cp:coreProperties>
</file>